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2BC8A" w14:textId="77777777" w:rsidR="00F25C23" w:rsidRDefault="00F25C23" w:rsidP="00F25C23">
      <w:pPr>
        <w:rPr>
          <w:rFonts w:asciiTheme="majorHAnsi" w:hAnsiTheme="majorHAnsi"/>
          <w:b/>
          <w:sz w:val="32"/>
        </w:rPr>
      </w:pPr>
      <w:r>
        <w:rPr>
          <w:rFonts w:asciiTheme="majorHAnsi" w:hAnsiTheme="majorHAnsi"/>
          <w:b/>
          <w:sz w:val="32"/>
        </w:rPr>
        <w:t xml:space="preserve">                  Summer Course at St. Patrick’s College, July 2016</w:t>
      </w:r>
    </w:p>
    <w:p w14:paraId="0707D181" w14:textId="77777777" w:rsidR="00F25C23" w:rsidRDefault="00F25C23" w:rsidP="00F25C23">
      <w:pPr>
        <w:rPr>
          <w:rFonts w:asciiTheme="majorHAnsi" w:hAnsiTheme="majorHAnsi"/>
        </w:rPr>
      </w:pPr>
    </w:p>
    <w:p w14:paraId="51FCED65" w14:textId="77777777" w:rsidR="00F25C23" w:rsidRDefault="00CD077A" w:rsidP="00F25C23">
      <w:pPr>
        <w:jc w:val="center"/>
        <w:rPr>
          <w:rFonts w:asciiTheme="majorHAnsi" w:hAnsiTheme="majorHAnsi"/>
          <w:b/>
          <w:i/>
        </w:rPr>
      </w:pPr>
      <w:r>
        <w:rPr>
          <w:rFonts w:asciiTheme="majorHAnsi" w:hAnsiTheme="majorHAnsi"/>
          <w:b/>
          <w:i/>
        </w:rPr>
        <w:t xml:space="preserve"> About: </w:t>
      </w:r>
      <w:r w:rsidR="00F25C23" w:rsidRPr="004427E6">
        <w:rPr>
          <w:rFonts w:asciiTheme="majorHAnsi" w:hAnsiTheme="majorHAnsi"/>
          <w:b/>
          <w:i/>
        </w:rPr>
        <w:t>‘Drama, Embodiment and Education; Beginning with the Teacher’</w:t>
      </w:r>
    </w:p>
    <w:p w14:paraId="6F2C29FC" w14:textId="77777777" w:rsidR="00F25C23" w:rsidRPr="004427E6" w:rsidRDefault="00F25C23" w:rsidP="00F25C23">
      <w:pPr>
        <w:rPr>
          <w:rFonts w:asciiTheme="majorHAnsi" w:hAnsiTheme="majorHAnsi"/>
          <w:b/>
        </w:rPr>
      </w:pPr>
    </w:p>
    <w:p w14:paraId="0C5390C7" w14:textId="77777777" w:rsidR="00F25C23" w:rsidRDefault="00F25C23" w:rsidP="00F25C23">
      <w:pPr>
        <w:rPr>
          <w:rFonts w:asciiTheme="majorHAnsi" w:hAnsiTheme="majorHAnsi"/>
        </w:rPr>
      </w:pPr>
    </w:p>
    <w:tbl>
      <w:tblPr>
        <w:tblStyle w:val="TableGrid"/>
        <w:tblW w:w="0" w:type="auto"/>
        <w:tblLook w:val="00A0" w:firstRow="1" w:lastRow="0" w:firstColumn="1" w:lastColumn="0" w:noHBand="0" w:noVBand="0"/>
      </w:tblPr>
      <w:tblGrid>
        <w:gridCol w:w="3085"/>
        <w:gridCol w:w="6155"/>
      </w:tblGrid>
      <w:tr w:rsidR="00F25C23" w14:paraId="1786D8AF" w14:textId="77777777" w:rsidTr="00BF4A46">
        <w:tc>
          <w:tcPr>
            <w:tcW w:w="3085" w:type="dxa"/>
          </w:tcPr>
          <w:p w14:paraId="7CE5C8E1" w14:textId="77777777" w:rsidR="00F25C23" w:rsidRDefault="00F25C23" w:rsidP="00BF4A46">
            <w:pPr>
              <w:rPr>
                <w:rFonts w:asciiTheme="majorHAnsi" w:hAnsiTheme="majorHAnsi"/>
              </w:rPr>
            </w:pPr>
            <w:r>
              <w:rPr>
                <w:rFonts w:asciiTheme="majorHAnsi" w:hAnsiTheme="majorHAnsi"/>
              </w:rPr>
              <w:t>Title of news item</w:t>
            </w:r>
          </w:p>
          <w:p w14:paraId="16584E7C" w14:textId="77777777" w:rsidR="00F25C23" w:rsidRDefault="00F25C23" w:rsidP="00BF4A46">
            <w:pPr>
              <w:rPr>
                <w:rFonts w:asciiTheme="majorHAnsi" w:hAnsiTheme="majorHAnsi"/>
              </w:rPr>
            </w:pPr>
          </w:p>
        </w:tc>
        <w:tc>
          <w:tcPr>
            <w:tcW w:w="6155" w:type="dxa"/>
          </w:tcPr>
          <w:p w14:paraId="54C7B081" w14:textId="77777777" w:rsidR="00F25C23" w:rsidRPr="00A30AB6" w:rsidRDefault="00F25C23" w:rsidP="00BF4A46">
            <w:pPr>
              <w:rPr>
                <w:rFonts w:asciiTheme="majorHAnsi" w:hAnsiTheme="majorHAnsi"/>
                <w:b/>
                <w:color w:val="0000FF"/>
              </w:rPr>
            </w:pPr>
            <w:r w:rsidRPr="00A30AB6">
              <w:rPr>
                <w:rFonts w:asciiTheme="majorHAnsi" w:hAnsiTheme="majorHAnsi"/>
                <w:b/>
                <w:color w:val="0000FF"/>
              </w:rPr>
              <w:t xml:space="preserve">Summer Course – </w:t>
            </w:r>
            <w:r w:rsidRPr="00A30AB6">
              <w:rPr>
                <w:rFonts w:asciiTheme="majorHAnsi" w:hAnsiTheme="majorHAnsi"/>
                <w:b/>
                <w:i/>
                <w:color w:val="0000FF"/>
              </w:rPr>
              <w:t>‘Drama, Embodiment and Education; Beginning with the Teacher’</w:t>
            </w:r>
            <w:r w:rsidRPr="00A30AB6">
              <w:rPr>
                <w:rFonts w:asciiTheme="majorHAnsi" w:hAnsiTheme="majorHAnsi"/>
                <w:b/>
                <w:color w:val="0000FF"/>
              </w:rPr>
              <w:t xml:space="preserve"> </w:t>
            </w:r>
          </w:p>
          <w:p w14:paraId="0BCB2D51" w14:textId="77777777" w:rsidR="00F25C23" w:rsidRDefault="00F25C23" w:rsidP="00BF4A46">
            <w:pPr>
              <w:rPr>
                <w:rFonts w:asciiTheme="majorHAnsi" w:hAnsiTheme="majorHAnsi"/>
              </w:rPr>
            </w:pPr>
          </w:p>
          <w:p w14:paraId="0C9637D9" w14:textId="77777777" w:rsidR="00F25C23" w:rsidRDefault="00F25C23" w:rsidP="00BF4A46">
            <w:pPr>
              <w:rPr>
                <w:rFonts w:asciiTheme="majorHAnsi" w:hAnsiTheme="majorHAnsi"/>
              </w:rPr>
            </w:pPr>
            <w:r>
              <w:rPr>
                <w:rFonts w:asciiTheme="majorHAnsi" w:hAnsiTheme="majorHAnsi"/>
              </w:rPr>
              <w:t>St. Patrick’s College (DCU) – 4</w:t>
            </w:r>
            <w:r w:rsidRPr="00C23C51">
              <w:rPr>
                <w:rFonts w:asciiTheme="majorHAnsi" w:hAnsiTheme="majorHAnsi"/>
                <w:vertAlign w:val="superscript"/>
              </w:rPr>
              <w:t>th</w:t>
            </w:r>
            <w:r>
              <w:rPr>
                <w:rFonts w:asciiTheme="majorHAnsi" w:hAnsiTheme="majorHAnsi"/>
              </w:rPr>
              <w:t>-8</w:t>
            </w:r>
            <w:r w:rsidRPr="00C23C51">
              <w:rPr>
                <w:rFonts w:asciiTheme="majorHAnsi" w:hAnsiTheme="majorHAnsi"/>
                <w:vertAlign w:val="superscript"/>
              </w:rPr>
              <w:t>th</w:t>
            </w:r>
            <w:r>
              <w:rPr>
                <w:rFonts w:asciiTheme="majorHAnsi" w:hAnsiTheme="majorHAnsi"/>
              </w:rPr>
              <w:t xml:space="preserve"> July 2016</w:t>
            </w:r>
          </w:p>
          <w:p w14:paraId="79E934E1" w14:textId="77777777" w:rsidR="00F25C23" w:rsidRDefault="00F25C23" w:rsidP="00BF4A46">
            <w:pPr>
              <w:rPr>
                <w:rFonts w:asciiTheme="majorHAnsi" w:hAnsiTheme="majorHAnsi"/>
              </w:rPr>
            </w:pPr>
          </w:p>
          <w:p w14:paraId="029E8CA9" w14:textId="77777777" w:rsidR="00F25C23" w:rsidRDefault="00F25C23" w:rsidP="00BF4A46">
            <w:pPr>
              <w:rPr>
                <w:rFonts w:asciiTheme="majorHAnsi" w:hAnsiTheme="majorHAnsi"/>
              </w:rPr>
            </w:pPr>
            <w:r>
              <w:rPr>
                <w:rFonts w:asciiTheme="majorHAnsi" w:hAnsiTheme="majorHAnsi"/>
              </w:rPr>
              <w:t>(Approved by DES)</w:t>
            </w:r>
          </w:p>
        </w:tc>
      </w:tr>
      <w:tr w:rsidR="00F25C23" w14:paraId="0719D216" w14:textId="77777777" w:rsidTr="00BF4A46">
        <w:tc>
          <w:tcPr>
            <w:tcW w:w="3085" w:type="dxa"/>
          </w:tcPr>
          <w:p w14:paraId="2B336847" w14:textId="77777777" w:rsidR="00F25C23" w:rsidRDefault="00F25C23" w:rsidP="00BF4A46">
            <w:pPr>
              <w:rPr>
                <w:rFonts w:asciiTheme="majorHAnsi" w:hAnsiTheme="majorHAnsi"/>
              </w:rPr>
            </w:pPr>
            <w:r>
              <w:rPr>
                <w:rFonts w:asciiTheme="majorHAnsi" w:hAnsiTheme="majorHAnsi"/>
              </w:rPr>
              <w:t>Name of author/ agency</w:t>
            </w:r>
          </w:p>
          <w:p w14:paraId="6E3426D5" w14:textId="77777777" w:rsidR="00F25C23" w:rsidRDefault="00F25C23" w:rsidP="00BF4A46">
            <w:pPr>
              <w:rPr>
                <w:rFonts w:asciiTheme="majorHAnsi" w:hAnsiTheme="majorHAnsi"/>
              </w:rPr>
            </w:pPr>
          </w:p>
        </w:tc>
        <w:tc>
          <w:tcPr>
            <w:tcW w:w="6155" w:type="dxa"/>
          </w:tcPr>
          <w:p w14:paraId="61C2BEAD" w14:textId="77777777" w:rsidR="00F25C23" w:rsidRDefault="00F25C23" w:rsidP="00BF4A46">
            <w:pPr>
              <w:rPr>
                <w:rFonts w:asciiTheme="majorHAnsi" w:hAnsiTheme="majorHAnsi"/>
              </w:rPr>
            </w:pPr>
            <w:r>
              <w:rPr>
                <w:rFonts w:asciiTheme="majorHAnsi" w:hAnsiTheme="majorHAnsi"/>
              </w:rPr>
              <w:t xml:space="preserve">Paula Murphy, Lecturer in Drama, St. Patrick’s College, </w:t>
            </w:r>
            <w:proofErr w:type="spellStart"/>
            <w:r>
              <w:rPr>
                <w:rFonts w:asciiTheme="majorHAnsi" w:hAnsiTheme="majorHAnsi"/>
              </w:rPr>
              <w:t>Drumcondra</w:t>
            </w:r>
            <w:proofErr w:type="spellEnd"/>
            <w:r>
              <w:rPr>
                <w:rFonts w:asciiTheme="majorHAnsi" w:hAnsiTheme="majorHAnsi"/>
              </w:rPr>
              <w:t>, Dublin 9.</w:t>
            </w:r>
          </w:p>
        </w:tc>
      </w:tr>
      <w:tr w:rsidR="00F25C23" w14:paraId="0EF28536" w14:textId="77777777" w:rsidTr="00BF4A46">
        <w:tc>
          <w:tcPr>
            <w:tcW w:w="3085" w:type="dxa"/>
          </w:tcPr>
          <w:p w14:paraId="493A9897" w14:textId="77777777" w:rsidR="00B11A56" w:rsidRDefault="00B11A56" w:rsidP="00B11A56">
            <w:pPr>
              <w:rPr>
                <w:rFonts w:asciiTheme="majorHAnsi" w:hAnsiTheme="majorHAnsi"/>
              </w:rPr>
            </w:pPr>
          </w:p>
          <w:p w14:paraId="67FCA954" w14:textId="77777777" w:rsidR="00F25C23" w:rsidRDefault="00B11A56" w:rsidP="00B11A56">
            <w:pPr>
              <w:rPr>
                <w:rFonts w:asciiTheme="majorHAnsi" w:hAnsiTheme="majorHAnsi"/>
              </w:rPr>
            </w:pPr>
            <w:r>
              <w:rPr>
                <w:rFonts w:asciiTheme="majorHAnsi" w:hAnsiTheme="majorHAnsi"/>
              </w:rPr>
              <w:t>Deadline</w:t>
            </w:r>
          </w:p>
          <w:p w14:paraId="2051FB31" w14:textId="63943ED0" w:rsidR="00B11A56" w:rsidRDefault="00B11A56" w:rsidP="00B11A56">
            <w:pPr>
              <w:rPr>
                <w:rFonts w:asciiTheme="majorHAnsi" w:hAnsiTheme="majorHAnsi"/>
              </w:rPr>
            </w:pPr>
          </w:p>
        </w:tc>
        <w:tc>
          <w:tcPr>
            <w:tcW w:w="6155" w:type="dxa"/>
          </w:tcPr>
          <w:p w14:paraId="041E49A4" w14:textId="77777777" w:rsidR="00F25C23" w:rsidRDefault="00F25C23" w:rsidP="00BF4A46">
            <w:pPr>
              <w:rPr>
                <w:rFonts w:asciiTheme="majorHAnsi" w:hAnsiTheme="majorHAnsi"/>
              </w:rPr>
            </w:pPr>
            <w:r>
              <w:rPr>
                <w:rFonts w:asciiTheme="majorHAnsi" w:hAnsiTheme="majorHAnsi"/>
              </w:rPr>
              <w:t>Application date: 28th</w:t>
            </w:r>
            <w:r w:rsidRPr="0098544F">
              <w:rPr>
                <w:rFonts w:asciiTheme="majorHAnsi" w:hAnsiTheme="majorHAnsi"/>
                <w:vertAlign w:val="superscript"/>
              </w:rPr>
              <w:t>th</w:t>
            </w:r>
            <w:r>
              <w:rPr>
                <w:rFonts w:asciiTheme="majorHAnsi" w:hAnsiTheme="majorHAnsi"/>
              </w:rPr>
              <w:t xml:space="preserve"> June 2016</w:t>
            </w:r>
          </w:p>
          <w:p w14:paraId="18FBCCF5" w14:textId="77777777" w:rsidR="00F25C23" w:rsidRDefault="00F25C23" w:rsidP="00BF4A46">
            <w:pPr>
              <w:rPr>
                <w:rFonts w:asciiTheme="majorHAnsi" w:hAnsiTheme="majorHAnsi"/>
              </w:rPr>
            </w:pPr>
            <w:r>
              <w:rPr>
                <w:rFonts w:asciiTheme="majorHAnsi" w:hAnsiTheme="majorHAnsi"/>
              </w:rPr>
              <w:t>(Process explained in link below)</w:t>
            </w:r>
          </w:p>
        </w:tc>
      </w:tr>
      <w:tr w:rsidR="00F25C23" w14:paraId="629A19E1" w14:textId="77777777" w:rsidTr="00BF4A46">
        <w:tc>
          <w:tcPr>
            <w:tcW w:w="3085" w:type="dxa"/>
          </w:tcPr>
          <w:p w14:paraId="62F8D880" w14:textId="77777777" w:rsidR="00B11A56" w:rsidRPr="00B11A56" w:rsidRDefault="00B11A56" w:rsidP="00BF4A46">
            <w:pPr>
              <w:rPr>
                <w:rFonts w:asciiTheme="majorHAnsi" w:hAnsiTheme="majorHAnsi"/>
              </w:rPr>
            </w:pPr>
          </w:p>
          <w:p w14:paraId="08ED108F" w14:textId="77777777" w:rsidR="00F25C23" w:rsidRPr="00B11A56" w:rsidRDefault="00F25C23" w:rsidP="00BF4A46">
            <w:pPr>
              <w:rPr>
                <w:rFonts w:asciiTheme="majorHAnsi" w:hAnsiTheme="majorHAnsi"/>
              </w:rPr>
            </w:pPr>
            <w:r w:rsidRPr="00B11A56">
              <w:rPr>
                <w:rFonts w:asciiTheme="majorHAnsi" w:hAnsiTheme="majorHAnsi"/>
              </w:rPr>
              <w:t xml:space="preserve">Information </w:t>
            </w:r>
          </w:p>
          <w:p w14:paraId="7D49A08D" w14:textId="77777777" w:rsidR="00F25C23" w:rsidRPr="00B11A56" w:rsidRDefault="00F25C23" w:rsidP="00BF4A46">
            <w:pPr>
              <w:rPr>
                <w:rFonts w:asciiTheme="majorHAnsi" w:hAnsiTheme="majorHAnsi"/>
              </w:rPr>
            </w:pPr>
          </w:p>
          <w:p w14:paraId="0CA148D9" w14:textId="77777777" w:rsidR="00F25C23" w:rsidRPr="00B11A56" w:rsidRDefault="00F25C23" w:rsidP="00BF4A46">
            <w:pPr>
              <w:rPr>
                <w:rFonts w:asciiTheme="majorHAnsi" w:hAnsiTheme="majorHAnsi"/>
              </w:rPr>
            </w:pPr>
          </w:p>
          <w:p w14:paraId="2274579E" w14:textId="77777777" w:rsidR="00F25C23" w:rsidRPr="00B11A56" w:rsidRDefault="00F25C23" w:rsidP="00BF4A46">
            <w:pPr>
              <w:rPr>
                <w:rFonts w:asciiTheme="majorHAnsi" w:hAnsiTheme="majorHAnsi"/>
              </w:rPr>
            </w:pPr>
          </w:p>
        </w:tc>
        <w:tc>
          <w:tcPr>
            <w:tcW w:w="6155" w:type="dxa"/>
          </w:tcPr>
          <w:p w14:paraId="7F96904C" w14:textId="77777777" w:rsidR="00B11A56" w:rsidRPr="00B11A56" w:rsidRDefault="00B11A56" w:rsidP="00BF4A46">
            <w:pPr>
              <w:pStyle w:val="NormalWeb"/>
              <w:rPr>
                <w:rFonts w:asciiTheme="majorHAnsi" w:hAnsiTheme="majorHAnsi"/>
                <w:b/>
                <w:sz w:val="20"/>
                <w:szCs w:val="20"/>
              </w:rPr>
            </w:pPr>
          </w:p>
          <w:p w14:paraId="6452175F" w14:textId="77777777" w:rsidR="00F25C23" w:rsidRPr="00B11A56" w:rsidRDefault="00F25C23" w:rsidP="00BF4A46">
            <w:pPr>
              <w:pStyle w:val="NormalWeb"/>
              <w:rPr>
                <w:rFonts w:asciiTheme="majorHAnsi" w:hAnsiTheme="majorHAnsi"/>
                <w:sz w:val="20"/>
                <w:szCs w:val="20"/>
              </w:rPr>
            </w:pPr>
            <w:r w:rsidRPr="00B11A56">
              <w:rPr>
                <w:rFonts w:asciiTheme="majorHAnsi" w:hAnsiTheme="majorHAnsi"/>
                <w:b/>
                <w:sz w:val="20"/>
                <w:szCs w:val="20"/>
              </w:rPr>
              <w:t>Course description</w:t>
            </w:r>
            <w:r w:rsidRPr="00B11A56">
              <w:rPr>
                <w:rFonts w:asciiTheme="majorHAnsi" w:hAnsiTheme="majorHAnsi"/>
                <w:sz w:val="20"/>
                <w:szCs w:val="20"/>
              </w:rPr>
              <w:t xml:space="preserve">: </w:t>
            </w:r>
          </w:p>
          <w:p w14:paraId="3C578296" w14:textId="77777777" w:rsidR="00F25C23" w:rsidRPr="00B11A56" w:rsidRDefault="00F25C23" w:rsidP="00BF4A46">
            <w:pPr>
              <w:shd w:val="clear" w:color="auto" w:fill="FFFFFF"/>
              <w:rPr>
                <w:rFonts w:asciiTheme="majorHAnsi" w:eastAsia="Times New Roman" w:hAnsiTheme="majorHAnsi" w:cs="Times New Roman"/>
                <w:color w:val="222222"/>
                <w:sz w:val="20"/>
                <w:szCs w:val="20"/>
                <w:lang w:val="en-IE" w:eastAsia="en-IE"/>
              </w:rPr>
            </w:pPr>
            <w:r w:rsidRPr="00B11A56">
              <w:rPr>
                <w:rFonts w:asciiTheme="majorHAnsi" w:eastAsia="Times New Roman" w:hAnsiTheme="majorHAnsi" w:cs="Times New Roman"/>
                <w:b/>
                <w:bCs/>
                <w:color w:val="222222"/>
                <w:sz w:val="20"/>
                <w:szCs w:val="20"/>
                <w:lang w:val="en-IE" w:eastAsia="en-IE"/>
              </w:rPr>
              <w:t>Drama, Embodiment and Education; Beginning with the Teacher</w:t>
            </w:r>
          </w:p>
          <w:p w14:paraId="04397DA0" w14:textId="77777777" w:rsidR="00F25C23" w:rsidRPr="00B11A56" w:rsidRDefault="00F25C23" w:rsidP="00BF4A46">
            <w:pPr>
              <w:shd w:val="clear" w:color="auto" w:fill="FFFFFF"/>
              <w:rPr>
                <w:rFonts w:asciiTheme="majorHAnsi" w:eastAsia="Times New Roman" w:hAnsiTheme="majorHAnsi" w:cs="Times New Roman"/>
                <w:color w:val="222222"/>
                <w:sz w:val="20"/>
                <w:szCs w:val="20"/>
                <w:lang w:val="en-IE" w:eastAsia="en-IE"/>
              </w:rPr>
            </w:pPr>
            <w:r w:rsidRPr="00B11A56">
              <w:rPr>
                <w:rFonts w:asciiTheme="majorHAnsi" w:eastAsia="Times New Roman" w:hAnsiTheme="majorHAnsi" w:cs="Times New Roman"/>
                <w:color w:val="222222"/>
                <w:sz w:val="20"/>
                <w:szCs w:val="20"/>
                <w:lang w:val="en-IE" w:eastAsia="en-IE"/>
              </w:rPr>
              <w:t>Following an initial review of the theoretical basis for the role of embodiment in education, the first few days of the course will involve an experiential journey towards a heightened sense of embodied presence in the participant. This will be done predominantly through mindful engagements with movement, the voice and the senses as the participant engages more deeply with his/her internal and external environment. In the latter part of the week, the participant will observe the impact of these explorations on his/her approach to planning and facilitation in Drama and across the curriculum.</w:t>
            </w:r>
          </w:p>
          <w:p w14:paraId="2C952164" w14:textId="77777777" w:rsidR="00F25C23" w:rsidRPr="00B11A56" w:rsidRDefault="00F25C23" w:rsidP="00BF4A46">
            <w:pPr>
              <w:rPr>
                <w:rFonts w:asciiTheme="majorHAnsi" w:hAnsiTheme="majorHAnsi" w:cs="Times New Roman"/>
                <w:b/>
                <w:sz w:val="20"/>
                <w:szCs w:val="20"/>
              </w:rPr>
            </w:pPr>
          </w:p>
          <w:p w14:paraId="702ED0FE" w14:textId="77777777" w:rsidR="00F25C23" w:rsidRPr="00B11A56" w:rsidRDefault="00F25C23" w:rsidP="00BF4A46">
            <w:pPr>
              <w:rPr>
                <w:rFonts w:asciiTheme="majorHAnsi" w:hAnsiTheme="majorHAnsi" w:cs="Times New Roman"/>
                <w:sz w:val="20"/>
                <w:szCs w:val="20"/>
              </w:rPr>
            </w:pPr>
            <w:r w:rsidRPr="00B11A56">
              <w:rPr>
                <w:rFonts w:asciiTheme="majorHAnsi" w:hAnsiTheme="majorHAnsi" w:cs="Times New Roman"/>
                <w:b/>
                <w:sz w:val="20"/>
                <w:szCs w:val="20"/>
              </w:rPr>
              <w:t>Facilitator</w:t>
            </w:r>
            <w:r w:rsidRPr="00B11A56">
              <w:rPr>
                <w:rFonts w:asciiTheme="majorHAnsi" w:hAnsiTheme="majorHAnsi" w:cs="Times New Roman"/>
                <w:sz w:val="20"/>
                <w:szCs w:val="20"/>
              </w:rPr>
              <w:t xml:space="preserve">: Paula Murphy has worked as a lecturer in Education (Drama) in St. Patrick's College since 1999. She currently lectures on undergraduate, postgraduate and in-service programmes in Drama and Education. She previously worked as a primary school teacher and as Education Officer for TEAM Educational Theatre Company. She is co-author of </w:t>
            </w:r>
            <w:r w:rsidRPr="00B11A56">
              <w:rPr>
                <w:rFonts w:asciiTheme="majorHAnsi" w:hAnsiTheme="majorHAnsi" w:cs="Times New Roman"/>
                <w:i/>
                <w:sz w:val="20"/>
                <w:szCs w:val="20"/>
              </w:rPr>
              <w:t>Discovering Drama: Theory and Practice for the Primary School</w:t>
            </w:r>
            <w:r w:rsidRPr="00B11A56">
              <w:rPr>
                <w:rFonts w:asciiTheme="majorHAnsi" w:hAnsiTheme="majorHAnsi" w:cs="Times New Roman"/>
                <w:sz w:val="20"/>
                <w:szCs w:val="20"/>
              </w:rPr>
              <w:t xml:space="preserve"> (Gill &amp; MacMillan, 2006) and was one of the founding members of ADEI (Association for Drama in Education in Ireland). Since 2012 Paula has been studying with Joan Davis of the Gorse Hill centre in </w:t>
            </w:r>
            <w:proofErr w:type="spellStart"/>
            <w:r w:rsidRPr="00B11A56">
              <w:rPr>
                <w:rFonts w:asciiTheme="majorHAnsi" w:hAnsiTheme="majorHAnsi" w:cs="Times New Roman"/>
                <w:sz w:val="20"/>
                <w:szCs w:val="20"/>
              </w:rPr>
              <w:t>Greystones</w:t>
            </w:r>
            <w:proofErr w:type="spellEnd"/>
            <w:r w:rsidRPr="00B11A56">
              <w:rPr>
                <w:rFonts w:asciiTheme="majorHAnsi" w:hAnsiTheme="majorHAnsi" w:cs="Times New Roman"/>
                <w:sz w:val="20"/>
                <w:szCs w:val="20"/>
              </w:rPr>
              <w:t xml:space="preserve"> in the area of Somatic Movement Education and Therapy (ISMETA), and is currently exploring the relationship between somatic movement education, teacher education and Drama.</w:t>
            </w:r>
          </w:p>
          <w:p w14:paraId="4F148E0B" w14:textId="77777777" w:rsidR="00F25C23" w:rsidRPr="00B11A56" w:rsidRDefault="00F25C23" w:rsidP="00BF4A46">
            <w:pPr>
              <w:rPr>
                <w:rFonts w:asciiTheme="majorHAnsi" w:hAnsiTheme="majorHAnsi"/>
              </w:rPr>
            </w:pPr>
          </w:p>
        </w:tc>
      </w:tr>
      <w:tr w:rsidR="00F25C23" w14:paraId="41117112" w14:textId="77777777" w:rsidTr="00BF4A46">
        <w:tc>
          <w:tcPr>
            <w:tcW w:w="3085" w:type="dxa"/>
          </w:tcPr>
          <w:p w14:paraId="4E0AD2AA" w14:textId="77777777" w:rsidR="00B11A56" w:rsidRDefault="00B11A56" w:rsidP="00BF4A46">
            <w:pPr>
              <w:rPr>
                <w:rFonts w:asciiTheme="majorHAnsi" w:hAnsiTheme="majorHAnsi"/>
              </w:rPr>
            </w:pPr>
          </w:p>
          <w:p w14:paraId="4CDFBD6E" w14:textId="77777777" w:rsidR="00F25C23" w:rsidRDefault="00F25C23" w:rsidP="00BF4A46">
            <w:pPr>
              <w:rPr>
                <w:rFonts w:asciiTheme="majorHAnsi" w:hAnsiTheme="majorHAnsi"/>
              </w:rPr>
            </w:pPr>
            <w:bookmarkStart w:id="0" w:name="_GoBack"/>
            <w:bookmarkEnd w:id="0"/>
            <w:r>
              <w:rPr>
                <w:rFonts w:asciiTheme="majorHAnsi" w:hAnsiTheme="majorHAnsi"/>
              </w:rPr>
              <w:t xml:space="preserve">Relevant links </w:t>
            </w:r>
          </w:p>
          <w:p w14:paraId="3E7305FE" w14:textId="77777777" w:rsidR="00F25C23" w:rsidRDefault="00F25C23" w:rsidP="00BF4A46">
            <w:pPr>
              <w:rPr>
                <w:rFonts w:asciiTheme="majorHAnsi" w:hAnsiTheme="majorHAnsi"/>
              </w:rPr>
            </w:pPr>
          </w:p>
        </w:tc>
        <w:tc>
          <w:tcPr>
            <w:tcW w:w="6155" w:type="dxa"/>
          </w:tcPr>
          <w:p w14:paraId="1D47295F" w14:textId="77777777" w:rsidR="00B11A56" w:rsidRDefault="00B11A56" w:rsidP="00BF4A46">
            <w:pPr>
              <w:rPr>
                <w:rFonts w:ascii="Arial" w:hAnsi="Arial" w:cs="Arial"/>
                <w:b/>
                <w:bCs/>
                <w:color w:val="555555"/>
                <w:sz w:val="19"/>
                <w:szCs w:val="19"/>
              </w:rPr>
            </w:pPr>
          </w:p>
          <w:p w14:paraId="5DB9C3BA" w14:textId="77777777" w:rsidR="00F25C23" w:rsidRPr="008F4537" w:rsidRDefault="00F25C23" w:rsidP="00BF4A46">
            <w:pPr>
              <w:rPr>
                <w:rFonts w:ascii="Times New Roman" w:hAnsi="Times New Roman" w:cs="Times New Roman"/>
              </w:rPr>
            </w:pPr>
            <w:r>
              <w:rPr>
                <w:rFonts w:ascii="Arial" w:hAnsi="Arial" w:cs="Arial"/>
                <w:b/>
                <w:bCs/>
                <w:color w:val="555555"/>
                <w:sz w:val="19"/>
                <w:szCs w:val="19"/>
              </w:rPr>
              <w:t xml:space="preserve">Further information and contact details enclosed: </w:t>
            </w:r>
            <w:hyperlink r:id="rId4" w:tgtFrame="_blank" w:history="1">
              <w:r>
                <w:rPr>
                  <w:rFonts w:ascii="Arial" w:hAnsi="Arial" w:cs="Arial"/>
                  <w:b/>
                  <w:bCs/>
                  <w:color w:val="0000FF"/>
                  <w:sz w:val="19"/>
                  <w:szCs w:val="19"/>
                  <w:u w:val="single"/>
                </w:rPr>
                <w:t>www.spd.dcu.ie/summercourses</w:t>
              </w:r>
            </w:hyperlink>
          </w:p>
          <w:p w14:paraId="3A96AA56" w14:textId="77777777" w:rsidR="00F25C23" w:rsidRDefault="00F25C23" w:rsidP="00BF4A46">
            <w:pPr>
              <w:rPr>
                <w:rFonts w:asciiTheme="majorHAnsi" w:hAnsiTheme="majorHAnsi"/>
              </w:rPr>
            </w:pPr>
          </w:p>
        </w:tc>
      </w:tr>
    </w:tbl>
    <w:p w14:paraId="552B927C" w14:textId="77777777" w:rsidR="00F25C23" w:rsidRDefault="00F25C23" w:rsidP="00F25C23">
      <w:pPr>
        <w:rPr>
          <w:rFonts w:asciiTheme="majorHAnsi" w:hAnsiTheme="majorHAnsi"/>
        </w:rPr>
      </w:pPr>
    </w:p>
    <w:p w14:paraId="039F7BD0" w14:textId="77777777" w:rsidR="00A62823" w:rsidRDefault="00A62823"/>
    <w:sectPr w:rsidR="00A62823" w:rsidSect="0000542F">
      <w:pgSz w:w="11904" w:h="16834"/>
      <w:pgMar w:top="993" w:right="1440" w:bottom="851" w:left="1440"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C23"/>
    <w:rsid w:val="006E76E6"/>
    <w:rsid w:val="00A30AB6"/>
    <w:rsid w:val="00A62823"/>
    <w:rsid w:val="00B11A56"/>
    <w:rsid w:val="00C25647"/>
    <w:rsid w:val="00CD077A"/>
    <w:rsid w:val="00F25C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7612FD7"/>
  <w14:defaultImageDpi w14:val="300"/>
  <w15:docId w15:val="{1CCAF736-2361-4D74-B787-27ED897FD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C23"/>
    <w:rPr>
      <w:rFonts w:asciiTheme="minorHAnsi" w:eastAsiaTheme="minorHAnsi" w:hAnsiTheme="minorHAnsi" w:cstheme="minorBidi"/>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5C23"/>
    <w:rPr>
      <w:rFonts w:asciiTheme="minorHAnsi" w:eastAsiaTheme="minorHAnsi" w:hAnsiTheme="minorHAnsi" w:cstheme="minorBid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25C23"/>
    <w:pPr>
      <w:spacing w:before="100" w:beforeAutospacing="1" w:after="100" w:afterAutospacing="1"/>
    </w:pPr>
    <w:rPr>
      <w:rFonts w:ascii="Times New Roman" w:eastAsia="Times New Roman" w:hAnsi="Times New Roman" w:cs="Times New Roman"/>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pd.dcu.ie/summercours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Howard</dc:creator>
  <cp:keywords/>
  <dc:description/>
  <cp:lastModifiedBy>Aisling Byrne</cp:lastModifiedBy>
  <cp:revision>2</cp:revision>
  <dcterms:created xsi:type="dcterms:W3CDTF">2016-06-15T18:36:00Z</dcterms:created>
  <dcterms:modified xsi:type="dcterms:W3CDTF">2016-06-15T18:36:00Z</dcterms:modified>
</cp:coreProperties>
</file>